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5-1</w:t>
      </w:r>
    </w:p>
    <w:p>
      <w:pPr>
        <w:spacing w:before="156" w:beforeLines="50" w:line="400" w:lineRule="exact"/>
        <w:jc w:val="center"/>
        <w:rPr>
          <w:rFonts w:eastAsia="黑体"/>
          <w:bCs/>
          <w:sz w:val="32"/>
          <w:szCs w:val="28"/>
        </w:rPr>
      </w:pPr>
      <w:r>
        <w:rPr>
          <w:rFonts w:eastAsia="黑体"/>
          <w:bCs/>
          <w:sz w:val="32"/>
          <w:szCs w:val="28"/>
        </w:rPr>
        <w:t>第</w:t>
      </w:r>
      <w:r>
        <w:rPr>
          <w:rFonts w:hint="eastAsia" w:eastAsia="黑体"/>
          <w:bCs/>
          <w:sz w:val="32"/>
          <w:szCs w:val="28"/>
          <w:lang w:val="en-US" w:eastAsia="zh-CN"/>
        </w:rPr>
        <w:t>六</w:t>
      </w:r>
      <w:r>
        <w:rPr>
          <w:rFonts w:eastAsia="黑体"/>
          <w:bCs/>
          <w:sz w:val="32"/>
          <w:szCs w:val="28"/>
        </w:rPr>
        <w:t>届全国大学生冶金科技竞赛</w:t>
      </w:r>
    </w:p>
    <w:p>
      <w:pPr>
        <w:spacing w:before="156" w:beforeLines="50" w:line="400" w:lineRule="exact"/>
        <w:jc w:val="center"/>
        <w:rPr>
          <w:rFonts w:eastAsia="黑体"/>
          <w:bCs/>
          <w:sz w:val="32"/>
          <w:szCs w:val="28"/>
        </w:rPr>
      </w:pPr>
      <w:r>
        <w:rPr>
          <w:rFonts w:eastAsia="黑体"/>
          <w:bCs/>
          <w:kern w:val="0"/>
          <w:sz w:val="32"/>
          <w:szCs w:val="36"/>
        </w:rPr>
        <w:t>参赛作品</w:t>
      </w:r>
      <w:r>
        <w:rPr>
          <w:rFonts w:eastAsia="黑体"/>
          <w:bCs/>
          <w:kern w:val="0"/>
          <w:sz w:val="32"/>
          <w:szCs w:val="32"/>
        </w:rPr>
        <w:t>（</w:t>
      </w:r>
      <w:r>
        <w:rPr>
          <w:rFonts w:eastAsia="黑体"/>
          <w:sz w:val="32"/>
          <w:szCs w:val="32"/>
        </w:rPr>
        <w:t>创意设计类）</w:t>
      </w:r>
      <w:r>
        <w:rPr>
          <w:rFonts w:eastAsia="黑体"/>
          <w:bCs/>
          <w:sz w:val="32"/>
          <w:szCs w:val="36"/>
        </w:rPr>
        <w:t>说明书格式规范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1</w:t>
      </w:r>
      <w:r>
        <w:rPr>
          <w:rFonts w:eastAsia="仿宋_GB2312"/>
          <w:sz w:val="24"/>
          <w:szCs w:val="28"/>
        </w:rPr>
        <w:t>．</w:t>
      </w:r>
      <w:r>
        <w:rPr>
          <w:rFonts w:eastAsia="仿宋_GB2312"/>
          <w:b/>
          <w:sz w:val="24"/>
          <w:szCs w:val="28"/>
        </w:rPr>
        <w:t>总体要求</w:t>
      </w:r>
    </w:p>
    <w:p>
      <w:pPr>
        <w:adjustRightInd w:val="0"/>
        <w:snapToGrid w:val="0"/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全文控制A4纸8页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采用word 2003及以上版本编排。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2．页面要求</w:t>
      </w:r>
    </w:p>
    <w:p>
      <w:pPr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A4页面。页边距：上25mm，下25mm，左、右各20mm。正文采用小四号字体，标准字间距，单倍行间距。不要设置页眉，页码位于页面底部居中。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3．图表要求</w:t>
      </w:r>
    </w:p>
    <w:p>
      <w:pPr>
        <w:adjustRightInd w:val="0"/>
        <w:snapToGrid w:val="0"/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adjustRightInd w:val="0"/>
        <w:snapToGrid w:val="0"/>
        <w:spacing w:line="48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表格按序编号，并加表题（位于表上方）。采用三线表，必要时可加辅助线。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4．字号、字体等要求参考如下说明书例。</w:t>
      </w:r>
    </w:p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  <w:szCs w:val="32"/>
        </w:rPr>
      </w:pPr>
      <w:r>
        <w:rPr>
          <w:sz w:val="24"/>
          <w:szCs w:val="24"/>
        </w:rPr>
        <w:t>×××</w:t>
      </w:r>
      <w:r>
        <w:rPr>
          <w:rFonts w:eastAsia="黑体"/>
          <w:bCs/>
          <w:sz w:val="32"/>
        </w:rPr>
        <w:t>作品说明书（黑体三号居中）</w:t>
      </w:r>
      <w:r>
        <w:rPr>
          <w:rFonts w:eastAsia="黑体"/>
          <w:bCs/>
          <w:sz w:val="32"/>
          <w:szCs w:val="32"/>
        </w:rPr>
        <w:t xml:space="preserve"> 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设计者：×××，×××，×××，×××，×××（宋体小四居中）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指导教师：×××，×××（宋体小四居中）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（XX大学，</w:t>
      </w:r>
      <w:r>
        <w:rPr>
          <w:sz w:val="24"/>
        </w:rPr>
        <w:t>XX</w:t>
      </w:r>
      <w:r>
        <w:rPr>
          <w:sz w:val="24"/>
          <w:szCs w:val="24"/>
        </w:rPr>
        <w:t>学院，XX专业 ）（宋体小四居中）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（空一行）</w:t>
      </w:r>
    </w:p>
    <w:p>
      <w:pPr>
        <w:jc w:val="center"/>
        <w:rPr>
          <w:rFonts w:eastAsia="黑体"/>
          <w:bCs/>
          <w:sz w:val="24"/>
          <w:szCs w:val="24"/>
        </w:rPr>
      </w:pPr>
      <w:r>
        <w:rPr>
          <w:rFonts w:eastAsia="黑体"/>
          <w:bCs/>
          <w:sz w:val="24"/>
        </w:rPr>
        <w:t>作品内容简介（黑体小四居中）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通过实验设计了一种新的冶炼设备……（400—600字以内）。（宋体小四）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联系人、联系电话、E-mail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（空一行）</w:t>
      </w:r>
    </w:p>
    <w:p>
      <w:pPr>
        <w:spacing w:before="156" w:beforeLines="50" w:after="156" w:afterLines="5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1 研制背景及意义（黑体小四）</w:t>
      </w:r>
    </w:p>
    <w:p>
      <w:pPr>
        <w:spacing w:before="156" w:beforeLines="50" w:after="156" w:afterLines="50"/>
        <w:rPr>
          <w:rFonts w:eastAsia="黑体"/>
          <w:bCs/>
          <w:sz w:val="24"/>
        </w:rPr>
      </w:pPr>
    </w:p>
    <w:p>
      <w:pPr>
        <w:spacing w:before="156" w:beforeLines="50" w:after="156" w:afterLines="5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2 设计方案（黑体小四）</w:t>
      </w:r>
    </w:p>
    <w:p>
      <w:pPr>
        <w:widowControl/>
        <w:spacing w:after="156" w:afterLines="50"/>
        <w:jc w:val="left"/>
        <w:rPr>
          <w:rFonts w:eastAsia="黑体"/>
          <w:kern w:val="0"/>
          <w:sz w:val="24"/>
          <w:szCs w:val="24"/>
        </w:rPr>
      </w:pPr>
      <w:r>
        <w:rPr>
          <w:rFonts w:eastAsia="黑体"/>
          <w:sz w:val="24"/>
          <w:szCs w:val="24"/>
        </w:rPr>
        <w:t>2.1 冶炼方法</w:t>
      </w:r>
      <w:r>
        <w:rPr>
          <w:rFonts w:eastAsia="黑体"/>
          <w:bCs/>
          <w:sz w:val="24"/>
        </w:rPr>
        <w:t>（黑体小四）</w:t>
      </w:r>
    </w:p>
    <w:p>
      <w:pPr>
        <w:widowControl/>
        <w:ind w:firstLine="480" w:firstLineChars="200"/>
        <w:jc w:val="left"/>
        <w:rPr>
          <w:sz w:val="24"/>
          <w:szCs w:val="24"/>
        </w:rPr>
      </w:pPr>
      <w:r>
        <w:rPr>
          <w:sz w:val="24"/>
        </w:rPr>
        <w:t>冶炼过程易于</w:t>
      </w:r>
      <w:r>
        <w:rPr>
          <w:sz w:val="24"/>
          <w:szCs w:val="24"/>
        </w:rPr>
        <w:t>实现，</w:t>
      </w:r>
      <w:r>
        <w:rPr>
          <w:sz w:val="24"/>
        </w:rPr>
        <w:t>具有高效、节能等优点</w:t>
      </w:r>
      <w:r>
        <w:rPr>
          <w:sz w:val="24"/>
          <w:szCs w:val="24"/>
        </w:rPr>
        <w:t>……（宋体小四）</w:t>
      </w:r>
    </w:p>
    <w:p>
      <w:pPr>
        <w:widowControl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……</w:t>
      </w:r>
    </w:p>
    <w:p>
      <w:pPr>
        <w:spacing w:after="156" w:afterLines="50"/>
        <w:rPr>
          <w:sz w:val="24"/>
          <w:szCs w:val="24"/>
        </w:rPr>
      </w:pPr>
      <w:r>
        <w:rPr>
          <w:rFonts w:eastAsia="黑体"/>
          <w:sz w:val="24"/>
          <w:szCs w:val="24"/>
        </w:rPr>
        <w:t>2.2 设备</w:t>
      </w:r>
      <w:r>
        <w:rPr>
          <w:rFonts w:eastAsia="黑体"/>
          <w:sz w:val="24"/>
        </w:rPr>
        <w:t>部分</w:t>
      </w:r>
    </w:p>
    <w:p>
      <w:pPr>
        <w:widowControl/>
        <w:ind w:firstLine="480" w:firstLineChars="200"/>
        <w:jc w:val="left"/>
        <w:rPr>
          <w:sz w:val="24"/>
          <w:szCs w:val="24"/>
        </w:rPr>
      </w:pPr>
      <w:r>
        <w:rPr>
          <w:sz w:val="24"/>
        </w:rPr>
        <w:t>设备设计</w:t>
      </w:r>
      <w:r>
        <w:rPr>
          <w:sz w:val="24"/>
          <w:szCs w:val="24"/>
        </w:rPr>
        <w:t>如图1所示，……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设计时考虑的主要问题：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……</w:t>
      </w:r>
    </w:p>
    <w:p>
      <w:pPr>
        <w:spacing w:before="156" w:beforeLines="50" w:after="156" w:afterLines="5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3 理论设计计算</w:t>
      </w:r>
    </w:p>
    <w:p>
      <w:pPr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……</w:t>
      </w:r>
    </w:p>
    <w:p>
      <w:pPr>
        <w:spacing w:before="156" w:beforeLines="50" w:after="156" w:afterLines="50"/>
        <w:rPr>
          <w:rFonts w:eastAsia="黑体"/>
          <w:b/>
          <w:sz w:val="24"/>
          <w:szCs w:val="24"/>
        </w:rPr>
      </w:pPr>
      <w:r>
        <w:rPr>
          <w:rFonts w:eastAsia="黑体"/>
          <w:bCs/>
          <w:sz w:val="24"/>
        </w:rPr>
        <w:t>4 冶炼</w:t>
      </w:r>
      <w:r>
        <w:rPr>
          <w:rFonts w:eastAsia="黑体"/>
          <w:sz w:val="24"/>
        </w:rPr>
        <w:t>原理及性能分析</w:t>
      </w:r>
    </w:p>
    <w:p>
      <w:pPr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……</w:t>
      </w:r>
    </w:p>
    <w:p>
      <w:pPr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完成制作后，作品实物外形照片见图9。</w:t>
      </w:r>
    </w:p>
    <w:p>
      <w:pPr>
        <w:spacing w:before="156" w:beforeLines="50" w:after="156" w:afterLines="50"/>
        <w:rPr>
          <w:rFonts w:eastAsia="黑体"/>
          <w:sz w:val="24"/>
        </w:rPr>
      </w:pPr>
      <w:r>
        <w:rPr>
          <w:rFonts w:eastAsia="黑体"/>
          <w:sz w:val="24"/>
        </w:rPr>
        <w:t>5 创新点及应用</w:t>
      </w:r>
    </w:p>
    <w:p>
      <w:pPr>
        <w:widowControl/>
        <w:ind w:firstLine="480" w:firstLineChars="200"/>
        <w:jc w:val="left"/>
        <w:rPr>
          <w:kern w:val="0"/>
          <w:sz w:val="24"/>
          <w:szCs w:val="24"/>
        </w:rPr>
      </w:pPr>
      <w:r>
        <w:rPr>
          <w:sz w:val="24"/>
          <w:szCs w:val="24"/>
        </w:rPr>
        <w:t>1）</w:t>
      </w:r>
      <w:r>
        <w:rPr>
          <w:sz w:val="24"/>
        </w:rPr>
        <w:t>适用于</w:t>
      </w:r>
      <w:r>
        <w:rPr>
          <w:sz w:val="24"/>
          <w:szCs w:val="24"/>
        </w:rPr>
        <w:t>不同</w:t>
      </w:r>
      <w:r>
        <w:rPr>
          <w:sz w:val="24"/>
        </w:rPr>
        <w:t>金属冶炼</w:t>
      </w:r>
      <w:r>
        <w:rPr>
          <w:sz w:val="24"/>
          <w:szCs w:val="24"/>
        </w:rPr>
        <w:t>。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2）操作和控制简便，容易地使用它。</w:t>
      </w:r>
    </w:p>
    <w:p>
      <w:pPr>
        <w:ind w:firstLine="480" w:firstLineChars="200"/>
        <w:rPr>
          <w:vanish/>
          <w:sz w:val="24"/>
        </w:rPr>
      </w:pPr>
      <w:r>
        <w:rPr>
          <w:sz w:val="24"/>
          <w:szCs w:val="24"/>
        </w:rPr>
        <w:t xml:space="preserve">3）……。 </w:t>
      </w:r>
    </w:p>
    <w:p>
      <w:pPr>
        <w:rPr>
          <w:sz w:val="24"/>
        </w:rPr>
      </w:pPr>
    </w:p>
    <w:p>
      <w:pPr>
        <w:ind w:firstLine="480" w:firstLineChars="200"/>
        <w:rPr>
          <w:sz w:val="24"/>
        </w:rPr>
      </w:pPr>
      <w:r>
        <w:rPr>
          <w:sz w:val="24"/>
          <w:szCs w:val="24"/>
        </w:rPr>
        <w:t>……</w:t>
      </w:r>
      <w:r>
        <w:rPr>
          <w:sz w:val="24"/>
        </w:rPr>
        <w:t>因此应用前景很广。</w:t>
      </w: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  <w:r>
        <w:rPr>
          <w:sz w:val="24"/>
          <w:szCs w:val="24"/>
        </w:rPr>
        <w:t>……</w:t>
      </w:r>
    </w:p>
    <w:p>
      <w:pPr>
        <w:ind w:firstLine="480" w:firstLineChars="200"/>
        <w:rPr>
          <w:sz w:val="24"/>
        </w:rPr>
      </w:pPr>
      <w:r>
        <w:rPr>
          <w:sz w:val="24"/>
        </w:rPr>
        <w:t>正文中表示物理量的符号，表示点、线、面的字母均用Times New Roman斜体；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表示法定计量单位、词头的符号、函数等，化学元素符号均用Times New Roman正体。</w:t>
      </w:r>
    </w:p>
    <w:p>
      <w:pPr>
        <w:ind w:firstLine="480" w:firstLineChars="200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（空一行）</w:t>
      </w:r>
    </w:p>
    <w:p>
      <w:pPr>
        <w:jc w:val="center"/>
        <w:rPr>
          <w:rFonts w:eastAsia="黑体"/>
          <w:bCs/>
          <w:sz w:val="24"/>
          <w:szCs w:val="24"/>
        </w:rPr>
      </w:pPr>
    </w:p>
    <w:p>
      <w:pPr>
        <w:jc w:val="center"/>
        <w:rPr>
          <w:rFonts w:eastAsia="黑体"/>
          <w:bCs/>
          <w:sz w:val="24"/>
        </w:rPr>
      </w:pPr>
      <w:r>
        <w:rPr>
          <w:rFonts w:eastAsia="黑体"/>
          <w:bCs/>
          <w:sz w:val="24"/>
          <w:szCs w:val="24"/>
        </w:rPr>
        <w:t>参考文献</w:t>
      </w:r>
      <w:r>
        <w:rPr>
          <w:rFonts w:eastAsia="黑体"/>
          <w:bCs/>
          <w:sz w:val="24"/>
        </w:rPr>
        <w:t>（黑体小四居中）</w:t>
      </w:r>
    </w:p>
    <w:p>
      <w:pPr>
        <w:jc w:val="center"/>
        <w:rPr>
          <w:rFonts w:eastAsia="黑体"/>
          <w:bCs/>
          <w:sz w:val="24"/>
          <w:szCs w:val="24"/>
        </w:rPr>
      </w:pP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xxx，xxx</w:t>
      </w:r>
      <w:r>
        <w:rPr>
          <w:sz w:val="24"/>
        </w:rPr>
        <w:t>．冶炼设备</w:t>
      </w:r>
      <w:r>
        <w:rPr>
          <w:sz w:val="24"/>
          <w:szCs w:val="24"/>
        </w:rPr>
        <w:t>现状和发展</w:t>
      </w:r>
      <w:r>
        <w:rPr>
          <w:sz w:val="24"/>
        </w:rPr>
        <w:t>．钢铁，2017，23(3)：275-279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xxx．</w:t>
      </w:r>
      <w:r>
        <w:rPr>
          <w:sz w:val="24"/>
        </w:rPr>
        <w:t>现代冶金学．</w:t>
      </w:r>
      <w:r>
        <w:rPr>
          <w:sz w:val="24"/>
          <w:szCs w:val="24"/>
        </w:rPr>
        <w:t>xxxxxx出版社，2015：15-47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xxxxx，xxxx</w:t>
      </w:r>
      <w:r>
        <w:rPr>
          <w:sz w:val="24"/>
        </w:rPr>
        <w:t>．</w:t>
      </w:r>
      <w:r>
        <w:rPr>
          <w:sz w:val="24"/>
          <w:szCs w:val="24"/>
        </w:rPr>
        <w:t>xxx，xxx译</w:t>
      </w:r>
      <w:r>
        <w:rPr>
          <w:sz w:val="24"/>
        </w:rPr>
        <w:t>．</w:t>
      </w:r>
      <w:r>
        <w:rPr>
          <w:sz w:val="24"/>
          <w:szCs w:val="24"/>
        </w:rPr>
        <w:t>钢冶金学</w:t>
      </w:r>
      <w:r>
        <w:rPr>
          <w:sz w:val="24"/>
        </w:rPr>
        <w:t>．</w:t>
      </w:r>
      <w:r>
        <w:rPr>
          <w:sz w:val="24"/>
          <w:szCs w:val="24"/>
        </w:rPr>
        <w:t>xxxx出版社，1998：11-67</w:t>
      </w:r>
    </w:p>
    <w:p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Lee H Y, Reinholtz C F. Inverse kinematics of serial-chain manipulators[J]. ASME Journal of Mechanical Design. 1996, 118(3): 396-404</w:t>
      </w:r>
    </w:p>
    <w:p>
      <w:pPr>
        <w:widowControl/>
        <w:jc w:val="left"/>
        <w:rPr>
          <w:sz w:val="24"/>
          <w:szCs w:val="24"/>
        </w:rPr>
      </w:pPr>
      <w:r>
        <w:rPr>
          <w:bCs/>
          <w:sz w:val="24"/>
        </w:rPr>
        <w:br w:type="page"/>
      </w: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5-2</w:t>
      </w:r>
    </w:p>
    <w:p>
      <w:pPr>
        <w:spacing w:before="156" w:beforeLines="50" w:line="400" w:lineRule="exact"/>
        <w:jc w:val="center"/>
        <w:rPr>
          <w:rFonts w:eastAsia="黑体"/>
          <w:bCs/>
          <w:sz w:val="32"/>
          <w:szCs w:val="28"/>
        </w:rPr>
      </w:pPr>
      <w:r>
        <w:rPr>
          <w:rFonts w:eastAsia="黑体"/>
          <w:bCs/>
          <w:sz w:val="32"/>
          <w:szCs w:val="28"/>
        </w:rPr>
        <w:t>第</w:t>
      </w:r>
      <w:r>
        <w:rPr>
          <w:rFonts w:hint="eastAsia" w:eastAsia="黑体"/>
          <w:bCs/>
          <w:sz w:val="32"/>
          <w:szCs w:val="28"/>
          <w:lang w:val="en-US" w:eastAsia="zh-CN"/>
        </w:rPr>
        <w:t>六</w:t>
      </w:r>
      <w:bookmarkStart w:id="0" w:name="_GoBack"/>
      <w:bookmarkEnd w:id="0"/>
      <w:r>
        <w:rPr>
          <w:rFonts w:eastAsia="黑体"/>
          <w:bCs/>
          <w:sz w:val="32"/>
          <w:szCs w:val="28"/>
        </w:rPr>
        <w:t>届全国大学生冶金科技竞赛</w:t>
      </w:r>
    </w:p>
    <w:p>
      <w:pPr>
        <w:widowControl/>
        <w:spacing w:after="150"/>
        <w:jc w:val="center"/>
        <w:rPr>
          <w:rFonts w:eastAsia="黑体"/>
          <w:bCs/>
          <w:sz w:val="32"/>
          <w:szCs w:val="36"/>
        </w:rPr>
      </w:pPr>
      <w:r>
        <w:rPr>
          <w:rFonts w:eastAsia="黑体"/>
          <w:bCs/>
          <w:kern w:val="0"/>
          <w:sz w:val="32"/>
          <w:szCs w:val="36"/>
        </w:rPr>
        <w:t>参赛作品</w:t>
      </w:r>
      <w:r>
        <w:rPr>
          <w:rFonts w:eastAsia="黑体"/>
          <w:bCs/>
          <w:kern w:val="0"/>
          <w:sz w:val="32"/>
          <w:szCs w:val="32"/>
        </w:rPr>
        <w:t>（</w:t>
      </w:r>
      <w:r>
        <w:rPr>
          <w:rFonts w:eastAsia="黑体"/>
          <w:sz w:val="32"/>
          <w:szCs w:val="32"/>
        </w:rPr>
        <w:t>科技创新类）</w:t>
      </w:r>
      <w:r>
        <w:rPr>
          <w:rFonts w:eastAsia="黑体"/>
          <w:bCs/>
          <w:sz w:val="32"/>
          <w:szCs w:val="36"/>
        </w:rPr>
        <w:t>说明书格式规范</w:t>
      </w:r>
    </w:p>
    <w:p>
      <w:pPr>
        <w:widowControl/>
        <w:adjustRightInd w:val="0"/>
        <w:snapToGrid w:val="0"/>
        <w:spacing w:before="156" w:beforeLines="50" w:after="120"/>
        <w:ind w:firstLine="482"/>
        <w:jc w:val="left"/>
        <w:rPr>
          <w:b/>
          <w:kern w:val="0"/>
          <w:sz w:val="24"/>
          <w:szCs w:val="24"/>
        </w:rPr>
      </w:pP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1．完整的科技创新说明书</w:t>
      </w:r>
    </w:p>
    <w:p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eastAsia="仿宋_GB2312"/>
          <w:kern w:val="0"/>
          <w:sz w:val="24"/>
          <w:szCs w:val="24"/>
        </w:rPr>
      </w:pPr>
      <w:r>
        <w:rPr>
          <w:rFonts w:eastAsia="仿宋_GB2312"/>
          <w:sz w:val="24"/>
          <w:szCs w:val="28"/>
        </w:rPr>
        <w:t>全文控制A4纸8页以内，并按以下顺序编排：</w:t>
      </w:r>
      <w:r>
        <w:rPr>
          <w:rFonts w:eastAsia="仿宋_GB2312"/>
          <w:kern w:val="0"/>
          <w:sz w:val="24"/>
          <w:szCs w:val="24"/>
        </w:rPr>
        <w:t>题目、学院及作者名称 、摘要（摘要包括： “摘要”字样、摘要正文、关键词、中图分类号）、正文 、结束语 、谢辞、参考文献、附录等。</w:t>
      </w:r>
      <w:r>
        <w:rPr>
          <w:rFonts w:eastAsia="仿宋_GB2312"/>
          <w:sz w:val="24"/>
          <w:szCs w:val="28"/>
        </w:rPr>
        <w:t>采用word 2003及以上版本编排。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2．页面要求</w:t>
      </w:r>
    </w:p>
    <w:p>
      <w:pPr>
        <w:widowControl/>
        <w:adjustRightInd w:val="0"/>
        <w:snapToGrid w:val="0"/>
        <w:spacing w:line="480" w:lineRule="exact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eastAsia="仿宋_GB2312"/>
          <w:kern w:val="0"/>
          <w:sz w:val="24"/>
          <w:szCs w:val="24"/>
        </w:rPr>
        <w:t>A4页面。页边距：上25mm，下25mm，左、右各20mm。正文采用小四号宋体字体，标准字间距，单倍行间距。不要设置页眉，页码位于页面底部居中。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3．图表要求</w:t>
      </w:r>
    </w:p>
    <w:p>
      <w:pPr>
        <w:widowControl/>
        <w:adjustRightInd w:val="0"/>
        <w:snapToGrid w:val="0"/>
        <w:spacing w:line="480" w:lineRule="exact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eastAsia="仿宋_GB2312"/>
          <w:kern w:val="0"/>
          <w:sz w:val="24"/>
          <w:szCs w:val="24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widowControl/>
        <w:adjustRightInd w:val="0"/>
        <w:snapToGrid w:val="0"/>
        <w:spacing w:line="480" w:lineRule="exact"/>
        <w:ind w:firstLine="480" w:firstLineChars="200"/>
        <w:rPr>
          <w:rFonts w:eastAsia="仿宋_GB2312"/>
          <w:kern w:val="0"/>
          <w:sz w:val="24"/>
          <w:szCs w:val="24"/>
        </w:rPr>
      </w:pPr>
      <w:r>
        <w:rPr>
          <w:rFonts w:eastAsia="仿宋_GB2312"/>
          <w:kern w:val="0"/>
          <w:sz w:val="24"/>
          <w:szCs w:val="24"/>
        </w:rPr>
        <w:t>表格按序编号，并加表题（位于表上方）。采用三线表，必要时可加辅助线。</w:t>
      </w:r>
    </w:p>
    <w:p>
      <w:pPr>
        <w:spacing w:line="480" w:lineRule="exact"/>
        <w:ind w:firstLine="482" w:firstLineChars="20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4．字号、字体要求参考“创意设计类说明书格式”的填写说明。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spacing w:before="156" w:beforeLines="50" w:after="156" w:afterLines="50"/>
        <w:jc w:val="center"/>
        <w:rPr>
          <w:sz w:val="24"/>
          <w:szCs w:val="24"/>
        </w:rPr>
      </w:pPr>
    </w:p>
    <w:p>
      <w:pPr>
        <w:spacing w:before="156" w:beforeLines="50" w:after="156" w:afterLines="50"/>
        <w:jc w:val="center"/>
        <w:rPr>
          <w:rFonts w:eastAsia="黑体"/>
          <w:bCs/>
          <w:sz w:val="32"/>
          <w:szCs w:val="32"/>
        </w:rPr>
      </w:pPr>
      <w:r>
        <w:rPr>
          <w:sz w:val="24"/>
          <w:szCs w:val="24"/>
        </w:rPr>
        <w:t>×××</w:t>
      </w:r>
      <w:r>
        <w:rPr>
          <w:rFonts w:eastAsia="黑体"/>
          <w:bCs/>
          <w:sz w:val="32"/>
        </w:rPr>
        <w:t>作品说明书（黑体三号居中）</w:t>
      </w:r>
      <w:r>
        <w:rPr>
          <w:rFonts w:eastAsia="黑体"/>
          <w:bCs/>
          <w:sz w:val="32"/>
          <w:szCs w:val="32"/>
        </w:rPr>
        <w:t xml:space="preserve"> 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设计者：×××，×××，×××，×××，×××（宋体小四居中）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指导教师：×××，×××（宋体小四居中）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（XX大学，</w:t>
      </w:r>
      <w:r>
        <w:rPr>
          <w:sz w:val="24"/>
        </w:rPr>
        <w:t>XX</w:t>
      </w:r>
      <w:r>
        <w:rPr>
          <w:sz w:val="24"/>
          <w:szCs w:val="24"/>
        </w:rPr>
        <w:t>学院，XX专业 ）（宋体小四居中）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（空一行）</w:t>
      </w:r>
    </w:p>
    <w:p>
      <w:pPr>
        <w:rPr>
          <w:rFonts w:eastAsia="黑体"/>
          <w:bCs/>
          <w:sz w:val="24"/>
          <w:szCs w:val="24"/>
        </w:rPr>
      </w:pPr>
      <w:r>
        <w:rPr>
          <w:rFonts w:eastAsia="黑体"/>
          <w:bCs/>
          <w:sz w:val="24"/>
        </w:rPr>
        <w:t>摘要（黑体小四）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钢渣是炼钢过程中产生的主要副产物……（400字以内）。（宋体小四）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（空一行）</w:t>
      </w:r>
    </w:p>
    <w:p>
      <w:pPr>
        <w:spacing w:before="156" w:beforeLines="50" w:after="156" w:afterLines="5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1 引言（黑体小四）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正文（宋体小四）</w:t>
      </w:r>
    </w:p>
    <w:p>
      <w:pPr>
        <w:spacing w:before="156" w:beforeLines="50" w:after="156" w:afterLines="5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2 实验方案（黑体小四）</w:t>
      </w:r>
    </w:p>
    <w:p>
      <w:pPr>
        <w:widowControl/>
        <w:spacing w:after="156" w:afterLines="50"/>
        <w:jc w:val="left"/>
        <w:rPr>
          <w:rFonts w:eastAsia="黑体"/>
          <w:kern w:val="0"/>
          <w:sz w:val="24"/>
          <w:szCs w:val="24"/>
        </w:rPr>
      </w:pPr>
      <w:r>
        <w:rPr>
          <w:rFonts w:eastAsia="黑体"/>
          <w:sz w:val="24"/>
          <w:szCs w:val="24"/>
        </w:rPr>
        <w:t>2.1 实验原料</w:t>
      </w:r>
      <w:r>
        <w:rPr>
          <w:rFonts w:eastAsia="黑体"/>
          <w:bCs/>
          <w:sz w:val="24"/>
        </w:rPr>
        <w:t>（黑体小四）</w:t>
      </w:r>
    </w:p>
    <w:p>
      <w:pPr>
        <w:spacing w:after="156" w:afterLines="50"/>
        <w:rPr>
          <w:sz w:val="24"/>
          <w:szCs w:val="24"/>
        </w:rPr>
      </w:pPr>
      <w:r>
        <w:rPr>
          <w:rFonts w:eastAsia="黑体"/>
          <w:sz w:val="24"/>
          <w:szCs w:val="24"/>
        </w:rPr>
        <w:t>2.2 实验方法</w:t>
      </w:r>
    </w:p>
    <w:p>
      <w:pPr>
        <w:spacing w:before="156" w:beforeLines="50" w:after="156" w:afterLines="5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3 实验结果与讨论</w:t>
      </w:r>
    </w:p>
    <w:p>
      <w:pPr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……</w:t>
      </w:r>
    </w:p>
    <w:p>
      <w:pPr>
        <w:jc w:val="center"/>
        <w:rPr>
          <w:bCs/>
        </w:rPr>
      </w:pPr>
      <w:r>
        <w:rPr>
          <w:bCs/>
        </w:rPr>
        <w:t>图1 ……（宋体5号居中）</w:t>
      </w:r>
    </w:p>
    <w:p>
      <w:pPr>
        <w:rPr>
          <w:bCs/>
          <w:sz w:val="24"/>
          <w:szCs w:val="24"/>
        </w:rPr>
      </w:pPr>
    </w:p>
    <w:p>
      <w:pPr>
        <w:spacing w:before="156" w:beforeLines="50" w:after="156" w:afterLines="50"/>
        <w:rPr>
          <w:rFonts w:eastAsia="黑体"/>
          <w:b/>
          <w:sz w:val="24"/>
          <w:szCs w:val="24"/>
        </w:rPr>
      </w:pPr>
      <w:r>
        <w:rPr>
          <w:rFonts w:eastAsia="黑体"/>
          <w:bCs/>
          <w:sz w:val="24"/>
        </w:rPr>
        <w:t>4 结论</w:t>
      </w:r>
    </w:p>
    <w:p>
      <w:pPr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1）……</w:t>
      </w:r>
    </w:p>
    <w:p>
      <w:pPr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2）……</w:t>
      </w:r>
    </w:p>
    <w:p>
      <w:pPr>
        <w:spacing w:before="156" w:beforeLines="50" w:after="156" w:afterLines="50"/>
        <w:rPr>
          <w:rFonts w:eastAsia="黑体"/>
          <w:sz w:val="24"/>
        </w:rPr>
      </w:pPr>
      <w:r>
        <w:rPr>
          <w:rFonts w:eastAsia="黑体"/>
          <w:sz w:val="24"/>
        </w:rPr>
        <w:t>5 致谢</w:t>
      </w:r>
    </w:p>
    <w:p>
      <w:pPr>
        <w:ind w:firstLine="480" w:firstLineChars="200"/>
        <w:rPr>
          <w:sz w:val="24"/>
        </w:rPr>
      </w:pPr>
      <w:r>
        <w:rPr>
          <w:sz w:val="24"/>
        </w:rPr>
        <w:t>正文中表示物理量的符号，表示点、线、面的字母均用Times New Roman斜体；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表示法定计量单位、词头的符号、函数等，化学元素符号均用Times New Roman正体。</w:t>
      </w:r>
    </w:p>
    <w:p>
      <w:pPr>
        <w:ind w:firstLine="480" w:firstLineChars="200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（空一行）</w:t>
      </w:r>
    </w:p>
    <w:p>
      <w:pPr>
        <w:jc w:val="center"/>
        <w:rPr>
          <w:rFonts w:eastAsia="黑体"/>
          <w:bCs/>
          <w:sz w:val="24"/>
        </w:rPr>
      </w:pPr>
      <w:r>
        <w:rPr>
          <w:rFonts w:eastAsia="黑体"/>
          <w:bCs/>
          <w:sz w:val="24"/>
          <w:szCs w:val="24"/>
        </w:rPr>
        <w:t>参考文献</w:t>
      </w:r>
      <w:r>
        <w:rPr>
          <w:rFonts w:eastAsia="黑体"/>
          <w:bCs/>
          <w:sz w:val="24"/>
        </w:rPr>
        <w:t>（黑体小四居中）</w:t>
      </w:r>
    </w:p>
    <w:p>
      <w:pPr>
        <w:jc w:val="center"/>
        <w:rPr>
          <w:rFonts w:eastAsia="黑体"/>
          <w:bCs/>
          <w:sz w:val="24"/>
          <w:szCs w:val="24"/>
        </w:rPr>
      </w:pP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xxx，xxx</w:t>
      </w:r>
      <w:r>
        <w:rPr>
          <w:sz w:val="24"/>
        </w:rPr>
        <w:t>．冶炼设备</w:t>
      </w:r>
      <w:r>
        <w:rPr>
          <w:sz w:val="24"/>
          <w:szCs w:val="24"/>
        </w:rPr>
        <w:t>现状和发展</w:t>
      </w:r>
      <w:r>
        <w:rPr>
          <w:sz w:val="24"/>
        </w:rPr>
        <w:t>．钢铁，2017，23(3)：275-279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xxx．</w:t>
      </w:r>
      <w:r>
        <w:rPr>
          <w:sz w:val="24"/>
        </w:rPr>
        <w:t>现代冶金学．</w:t>
      </w:r>
      <w:r>
        <w:rPr>
          <w:sz w:val="24"/>
          <w:szCs w:val="24"/>
        </w:rPr>
        <w:t>xxxxxx出版社，2015：15-47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xxxxx，xxxx</w:t>
      </w:r>
      <w:r>
        <w:rPr>
          <w:sz w:val="24"/>
        </w:rPr>
        <w:t>．</w:t>
      </w:r>
      <w:r>
        <w:rPr>
          <w:sz w:val="24"/>
          <w:szCs w:val="24"/>
        </w:rPr>
        <w:t>xxx，xxx译</w:t>
      </w:r>
      <w:r>
        <w:rPr>
          <w:sz w:val="24"/>
        </w:rPr>
        <w:t>．</w:t>
      </w:r>
      <w:r>
        <w:rPr>
          <w:sz w:val="24"/>
          <w:szCs w:val="24"/>
        </w:rPr>
        <w:t>钢冶金学</w:t>
      </w:r>
      <w:r>
        <w:rPr>
          <w:sz w:val="24"/>
        </w:rPr>
        <w:t>．</w:t>
      </w:r>
      <w:r>
        <w:rPr>
          <w:sz w:val="24"/>
          <w:szCs w:val="24"/>
        </w:rPr>
        <w:t>xxxx出版社，1998：11-67</w:t>
      </w:r>
    </w:p>
    <w:p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Lee H Y, Reinholtz C F. Inverse kinematics of serial-chain manipulators[J]. ASME Journal of Mechanical Design. 1996, 118(3): 396-404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MGNmMjYzYjAwZDRmZDJiY2E0YjQwMDg0ZmNlNjcifQ=="/>
  </w:docVars>
  <w:rsids>
    <w:rsidRoot w:val="003344AB"/>
    <w:rsid w:val="003344AB"/>
    <w:rsid w:val="00421D22"/>
    <w:rsid w:val="00466AD4"/>
    <w:rsid w:val="009A18AA"/>
    <w:rsid w:val="23CE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1601</Words>
  <Characters>2068</Characters>
  <Lines>16</Lines>
  <Paragraphs>4</Paragraphs>
  <TotalTime>0</TotalTime>
  <ScaleCrop>false</ScaleCrop>
  <LinksUpToDate>false</LinksUpToDate>
  <CharactersWithSpaces>2142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2020-03-11T07:45:00Z</dcterms:created>
  <dc:creator>Chai Yifan</dc:creator>
  <cp:lastModifiedBy>cruise凝</cp:lastModifiedBy>
  <dcterms:modified xsi:type="dcterms:W3CDTF">2023-04-15T13:05:24Z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E7A1A393841E4EF09638827385FE8C78_12</vt:lpwstr>
  </property>
</Properties>
</file>